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DA" w:rsidRPr="000967D0" w:rsidRDefault="000967D0" w:rsidP="000967D0">
      <w:pPr>
        <w:numPr>
          <w:ilvl w:val="0"/>
          <w:numId w:val="1"/>
        </w:numPr>
      </w:pPr>
      <w:r w:rsidRPr="000967D0">
        <w:rPr>
          <w:b/>
          <w:bCs/>
        </w:rPr>
        <w:t xml:space="preserve">Red Flag: </w:t>
      </w:r>
      <w:r w:rsidRPr="000967D0">
        <w:t xml:space="preserve"> A patient mentioned that he doesn’t use his cane at work, but uses it everywhere else.</w:t>
      </w:r>
    </w:p>
    <w:p w:rsidR="001D7CDA" w:rsidRPr="000967D0" w:rsidRDefault="000967D0" w:rsidP="000967D0">
      <w:pPr>
        <w:numPr>
          <w:ilvl w:val="0"/>
          <w:numId w:val="1"/>
        </w:numPr>
      </w:pPr>
      <w:r w:rsidRPr="000967D0">
        <w:rPr>
          <w:b/>
          <w:bCs/>
        </w:rPr>
        <w:t xml:space="preserve">No Probe:  </w:t>
      </w:r>
      <w:r w:rsidRPr="000967D0">
        <w:t>The provider did not ask the patient why.</w:t>
      </w:r>
    </w:p>
    <w:p w:rsidR="001D7CDA" w:rsidRPr="000967D0" w:rsidRDefault="000967D0" w:rsidP="000967D0">
      <w:pPr>
        <w:numPr>
          <w:ilvl w:val="0"/>
          <w:numId w:val="1"/>
        </w:numPr>
      </w:pPr>
      <w:r w:rsidRPr="000967D0">
        <w:rPr>
          <w:b/>
          <w:bCs/>
        </w:rPr>
        <w:t>Contextual Factor spontaneously revealed by patient:</w:t>
      </w:r>
      <w:r w:rsidRPr="000967D0">
        <w:t xml:space="preserve"> The patient went on to say that he is afraid that he could be fired from his job if his boss sees him using a cane. (Domain: Environment)</w:t>
      </w:r>
    </w:p>
    <w:p w:rsidR="001D7CDA" w:rsidRPr="000967D0" w:rsidRDefault="000967D0" w:rsidP="000967D0">
      <w:pPr>
        <w:numPr>
          <w:ilvl w:val="0"/>
          <w:numId w:val="1"/>
        </w:numPr>
      </w:pPr>
      <w:r w:rsidRPr="000967D0">
        <w:rPr>
          <w:b/>
          <w:bCs/>
        </w:rPr>
        <w:t xml:space="preserve">No Contextual Plan of Care made:  </w:t>
      </w:r>
      <w:r w:rsidRPr="000967D0">
        <w:t>The provider did not address the patient’s concerns. He did not explain that employees with disabilities are protected by the Americans with Disabilities Act (ADA). Possible strategies include providing a medical note to the employer, seeing if there is a union or HR representative at his job who could protect his rights, and/or referring to social work to advise patient of his options.</w:t>
      </w:r>
    </w:p>
    <w:p w:rsidR="008C06A5" w:rsidRDefault="008C06A5"/>
    <w:p w:rsidR="000967D0" w:rsidRDefault="000967D0"/>
    <w:p w:rsidR="00000000" w:rsidRPr="001563E0" w:rsidRDefault="001563E0" w:rsidP="001563E0">
      <w:pPr>
        <w:numPr>
          <w:ilvl w:val="0"/>
          <w:numId w:val="2"/>
        </w:numPr>
      </w:pPr>
      <w:r w:rsidRPr="001563E0">
        <w:rPr>
          <w:b/>
          <w:bCs/>
        </w:rPr>
        <w:t>Red Flag:</w:t>
      </w:r>
      <w:r w:rsidRPr="001563E0">
        <w:t xml:space="preserve">   The patient mentioned that he had not been able to follow the diet recommendations that had been discussed at a previous visit.</w:t>
      </w:r>
    </w:p>
    <w:p w:rsidR="00000000" w:rsidRPr="001563E0" w:rsidRDefault="001563E0" w:rsidP="001563E0">
      <w:pPr>
        <w:numPr>
          <w:ilvl w:val="0"/>
          <w:numId w:val="2"/>
        </w:numPr>
      </w:pPr>
      <w:r w:rsidRPr="001563E0">
        <w:rPr>
          <w:b/>
          <w:bCs/>
        </w:rPr>
        <w:t xml:space="preserve">Probe:  </w:t>
      </w:r>
      <w:r w:rsidRPr="001563E0">
        <w:t>The provider did not ask the patient why he wasn’t able to follow the recommended diet.</w:t>
      </w:r>
    </w:p>
    <w:p w:rsidR="00000000" w:rsidRPr="001563E0" w:rsidRDefault="001563E0" w:rsidP="001563E0">
      <w:pPr>
        <w:numPr>
          <w:ilvl w:val="0"/>
          <w:numId w:val="2"/>
        </w:numPr>
      </w:pPr>
      <w:r w:rsidRPr="001563E0">
        <w:rPr>
          <w:b/>
          <w:bCs/>
        </w:rPr>
        <w:t xml:space="preserve">Contextual Factor:  </w:t>
      </w:r>
      <w:r w:rsidRPr="001563E0">
        <w:t>The patient went on to say that he had been spending lots of time with family and those events included lots of food. (Domain: Environment)</w:t>
      </w:r>
    </w:p>
    <w:p w:rsidR="00000000" w:rsidRPr="001563E0" w:rsidRDefault="001563E0" w:rsidP="001563E0">
      <w:pPr>
        <w:numPr>
          <w:ilvl w:val="0"/>
          <w:numId w:val="2"/>
        </w:numPr>
      </w:pPr>
      <w:r w:rsidRPr="001563E0">
        <w:rPr>
          <w:b/>
          <w:bCs/>
        </w:rPr>
        <w:t xml:space="preserve">No Contextual Plan </w:t>
      </w:r>
      <w:r w:rsidRPr="001563E0">
        <w:rPr>
          <w:b/>
          <w:bCs/>
        </w:rPr>
        <w:t>of Care:</w:t>
      </w:r>
      <w:r w:rsidRPr="001563E0">
        <w:t xml:space="preserve">    The provider did not address the patient’s environment as it effects his eating. Missed opportunity to help the patient with strategies to eat healthily in family gatherings in</w:t>
      </w:r>
      <w:r w:rsidRPr="001563E0">
        <w:t>cluding bringing healthy snacks, enlisting fellow family members to also make healthy choices, etc.</w:t>
      </w:r>
    </w:p>
    <w:p w:rsidR="000967D0" w:rsidRDefault="000967D0">
      <w:bookmarkStart w:id="0" w:name="_GoBack"/>
      <w:bookmarkEnd w:id="0"/>
    </w:p>
    <w:sectPr w:rsidR="00096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68E4"/>
    <w:multiLevelType w:val="hybridMultilevel"/>
    <w:tmpl w:val="89E465C8"/>
    <w:lvl w:ilvl="0" w:tplc="1EB4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A9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E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4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0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E7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4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C84CDB"/>
    <w:multiLevelType w:val="hybridMultilevel"/>
    <w:tmpl w:val="8B7221FC"/>
    <w:lvl w:ilvl="0" w:tplc="35D21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87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6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82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8A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CA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A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4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0967D0"/>
    <w:rsid w:val="001563E0"/>
    <w:rsid w:val="001D7CDA"/>
    <w:rsid w:val="004448B8"/>
    <w:rsid w:val="008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3</cp:revision>
  <dcterms:created xsi:type="dcterms:W3CDTF">2019-01-15T13:26:00Z</dcterms:created>
  <dcterms:modified xsi:type="dcterms:W3CDTF">2019-01-15T15:41:00Z</dcterms:modified>
</cp:coreProperties>
</file>